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E538" w14:textId="162D2DC7" w:rsidR="001357B3" w:rsidRPr="005B5018" w:rsidRDefault="002E12EC" w:rsidP="004B7FE1">
      <w:pPr>
        <w:pStyle w:val="Heading1"/>
      </w:pPr>
      <w:r>
        <w:t>CEE 205</w:t>
      </w:r>
      <w:r w:rsidR="001357B3" w:rsidRPr="005B5018">
        <w:t xml:space="preserve"> STATICS</w:t>
      </w:r>
    </w:p>
    <w:p w14:paraId="05095EED" w14:textId="58DC4AC4" w:rsidR="001357B3" w:rsidRPr="005B5018" w:rsidRDefault="00844299" w:rsidP="00465205">
      <w:pPr>
        <w:pStyle w:val="Heading1"/>
      </w:pPr>
      <w:r>
        <w:t>Spring 2022</w:t>
      </w:r>
    </w:p>
    <w:p w14:paraId="538B6BCF" w14:textId="77777777" w:rsidR="009F1782" w:rsidRPr="005B5018" w:rsidRDefault="001357B3" w:rsidP="005B5018">
      <w:pPr>
        <w:rPr>
          <w:szCs w:val="22"/>
        </w:rPr>
      </w:pPr>
      <w:r w:rsidRPr="005B5018">
        <w:rPr>
          <w:rStyle w:val="Heading3Char"/>
        </w:rPr>
        <w:t xml:space="preserve">Course </w:t>
      </w:r>
      <w:r w:rsidR="005B5018">
        <w:rPr>
          <w:rStyle w:val="Heading3Char"/>
        </w:rPr>
        <w:t>D</w:t>
      </w:r>
      <w:r w:rsidRPr="005B5018">
        <w:rPr>
          <w:rStyle w:val="Heading3Char"/>
        </w:rPr>
        <w:t>escription:</w:t>
      </w:r>
      <w:r w:rsidRPr="005B5018">
        <w:rPr>
          <w:szCs w:val="22"/>
        </w:rPr>
        <w:tab/>
      </w:r>
      <w:r w:rsidR="009F1782">
        <w:rPr>
          <w:szCs w:val="22"/>
        </w:rPr>
        <w:t xml:space="preserve">Complex engineering problems can be disassembled into small components </w:t>
      </w:r>
      <w:r w:rsidR="00221E6C">
        <w:rPr>
          <w:szCs w:val="22"/>
        </w:rPr>
        <w:t>and</w:t>
      </w:r>
      <w:r w:rsidR="009F1782">
        <w:rPr>
          <w:szCs w:val="22"/>
        </w:rPr>
        <w:t xml:space="preserve"> solved with basic science and math skills. By asking simple questions </w:t>
      </w:r>
      <w:r w:rsidR="00221E6C">
        <w:rPr>
          <w:szCs w:val="22"/>
        </w:rPr>
        <w:t>defining what</w:t>
      </w:r>
      <w:r w:rsidR="009F1782">
        <w:rPr>
          <w:szCs w:val="22"/>
        </w:rPr>
        <w:t xml:space="preserve"> information we have and need, we can develop simple </w:t>
      </w:r>
      <w:r w:rsidR="002E12EC">
        <w:rPr>
          <w:szCs w:val="22"/>
        </w:rPr>
        <w:t>strategies</w:t>
      </w:r>
      <w:r w:rsidR="009F1782">
        <w:rPr>
          <w:szCs w:val="22"/>
        </w:rPr>
        <w:t xml:space="preserve"> to solve many problems.  Through this process the fundamental concepts of vectors, forces, equilibrium, friction, centroids and moments of inertia, may be used to analyze and solve engineering problems.  Prerequisites: </w:t>
      </w:r>
      <w:r w:rsidR="00606769" w:rsidRPr="00606769">
        <w:rPr>
          <w:szCs w:val="22"/>
        </w:rPr>
        <w:t>ENGR 101 and PHYS 298</w:t>
      </w:r>
      <w:r w:rsidR="009F1782">
        <w:rPr>
          <w:szCs w:val="22"/>
        </w:rPr>
        <w:t>.</w:t>
      </w:r>
    </w:p>
    <w:p w14:paraId="26B3C981" w14:textId="77777777" w:rsidR="005B5018" w:rsidRPr="005B5018" w:rsidRDefault="005B5018" w:rsidP="005B5018">
      <w:pPr>
        <w:rPr>
          <w:szCs w:val="22"/>
        </w:rPr>
      </w:pPr>
    </w:p>
    <w:p w14:paraId="5A462384" w14:textId="75C577F2" w:rsidR="00C0296E" w:rsidRPr="00C0296E" w:rsidRDefault="001357B3" w:rsidP="00C0296E">
      <w:pPr>
        <w:ind w:left="1440" w:hanging="1440"/>
        <w:rPr>
          <w:i/>
          <w:iCs/>
          <w:szCs w:val="22"/>
        </w:rPr>
      </w:pPr>
      <w:r w:rsidRPr="005B5018">
        <w:rPr>
          <w:rStyle w:val="Heading3Char"/>
        </w:rPr>
        <w:t>Textbook:</w:t>
      </w:r>
      <w:r w:rsidRPr="005B5018">
        <w:rPr>
          <w:szCs w:val="22"/>
        </w:rPr>
        <w:t xml:space="preserve"> </w:t>
      </w:r>
      <w:r w:rsidRPr="005B5018">
        <w:rPr>
          <w:i/>
          <w:iCs/>
          <w:szCs w:val="22"/>
        </w:rPr>
        <w:t xml:space="preserve"> </w:t>
      </w:r>
      <w:r w:rsidRPr="005B5018">
        <w:rPr>
          <w:i/>
          <w:iCs/>
          <w:szCs w:val="22"/>
        </w:rPr>
        <w:tab/>
      </w:r>
      <w:r w:rsidR="00C0296E" w:rsidRPr="00C0296E">
        <w:rPr>
          <w:i/>
          <w:iCs/>
          <w:szCs w:val="22"/>
        </w:rPr>
        <w:t xml:space="preserve">Engineering Mechanics:  Statics, R. C. </w:t>
      </w:r>
      <w:proofErr w:type="spellStart"/>
      <w:r w:rsidR="00C0296E" w:rsidRPr="00C0296E">
        <w:rPr>
          <w:i/>
          <w:iCs/>
          <w:szCs w:val="22"/>
        </w:rPr>
        <w:t>Hibbeler</w:t>
      </w:r>
      <w:proofErr w:type="spellEnd"/>
      <w:r w:rsidR="00C0296E" w:rsidRPr="00C0296E">
        <w:rPr>
          <w:i/>
          <w:iCs/>
          <w:szCs w:val="22"/>
        </w:rPr>
        <w:t>, 1</w:t>
      </w:r>
      <w:r w:rsidR="00844299">
        <w:rPr>
          <w:i/>
          <w:iCs/>
          <w:szCs w:val="22"/>
        </w:rPr>
        <w:t>5</w:t>
      </w:r>
      <w:r w:rsidR="00C0296E" w:rsidRPr="00C0296E">
        <w:rPr>
          <w:i/>
          <w:iCs/>
          <w:szCs w:val="22"/>
        </w:rPr>
        <w:t xml:space="preserve">th Edition, </w:t>
      </w:r>
      <w:r w:rsidR="00C0296E">
        <w:rPr>
          <w:i/>
          <w:iCs/>
          <w:szCs w:val="22"/>
        </w:rPr>
        <w:br/>
      </w:r>
      <w:r w:rsidR="00C0296E" w:rsidRPr="00C0296E">
        <w:rPr>
          <w:i/>
          <w:iCs/>
          <w:szCs w:val="22"/>
        </w:rPr>
        <w:t>Prentice-Hall,</w:t>
      </w:r>
      <w:r w:rsidR="00C0296E">
        <w:rPr>
          <w:i/>
          <w:iCs/>
          <w:szCs w:val="22"/>
        </w:rPr>
        <w:t xml:space="preserve"> </w:t>
      </w:r>
      <w:r w:rsidR="00C0296E" w:rsidRPr="00C0296E">
        <w:rPr>
          <w:i/>
          <w:iCs/>
          <w:szCs w:val="22"/>
        </w:rPr>
        <w:t>Englewood Cliffs, NJ, 20</w:t>
      </w:r>
      <w:r w:rsidR="00844299">
        <w:rPr>
          <w:i/>
          <w:iCs/>
          <w:szCs w:val="22"/>
        </w:rPr>
        <w:t>21</w:t>
      </w:r>
      <w:r w:rsidR="00C0296E" w:rsidRPr="00C0296E">
        <w:rPr>
          <w:i/>
          <w:iCs/>
          <w:szCs w:val="22"/>
        </w:rPr>
        <w:t>.</w:t>
      </w:r>
    </w:p>
    <w:p w14:paraId="4FCD6DFF" w14:textId="77777777" w:rsidR="00C0296E" w:rsidRPr="00C0296E" w:rsidRDefault="00C0296E" w:rsidP="00C0296E">
      <w:pPr>
        <w:rPr>
          <w:i/>
          <w:iCs/>
          <w:szCs w:val="22"/>
        </w:rPr>
      </w:pPr>
    </w:p>
    <w:p w14:paraId="2E70CBD6" w14:textId="7A4F6BC5" w:rsidR="007D64F7" w:rsidRDefault="00BC777D" w:rsidP="00C13314">
      <w:pPr>
        <w:ind w:left="1440"/>
      </w:pPr>
      <w:r>
        <w:t xml:space="preserve">This course utilizes the Pearson </w:t>
      </w:r>
      <w:r w:rsidR="00C13314">
        <w:t>Mastering</w:t>
      </w:r>
      <w:r>
        <w:t xml:space="preserve"> </w:t>
      </w:r>
      <w:r w:rsidR="00C13314">
        <w:t>system. Instructions to access are posted on Blackboard.</w:t>
      </w:r>
    </w:p>
    <w:p w14:paraId="3848AE7A" w14:textId="77777777" w:rsidR="007D64F7" w:rsidRDefault="007D64F7" w:rsidP="005B5018">
      <w:pPr>
        <w:rPr>
          <w:rStyle w:val="Heading3Char"/>
        </w:rPr>
      </w:pPr>
    </w:p>
    <w:p w14:paraId="752C430D" w14:textId="5D410FA7" w:rsidR="001357B3" w:rsidRDefault="001357B3" w:rsidP="00C13314">
      <w:pPr>
        <w:rPr>
          <w:szCs w:val="22"/>
        </w:rPr>
      </w:pPr>
      <w:r w:rsidRPr="005B5018">
        <w:rPr>
          <w:rStyle w:val="Heading3Char"/>
        </w:rPr>
        <w:t>Instructor:</w:t>
      </w:r>
      <w:r w:rsidRPr="005B5018">
        <w:rPr>
          <w:szCs w:val="22"/>
        </w:rPr>
        <w:tab/>
      </w:r>
      <w:r w:rsidR="00C13314">
        <w:rPr>
          <w:szCs w:val="22"/>
        </w:rPr>
        <w:t>Robert Kluger, Ph.D., PE</w:t>
      </w:r>
    </w:p>
    <w:p w14:paraId="24025D8D" w14:textId="12D640B4" w:rsidR="00C13314" w:rsidRDefault="00C13314" w:rsidP="00C13314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WS Speed Office 112</w:t>
      </w:r>
    </w:p>
    <w:p w14:paraId="407D05E5" w14:textId="5D935956" w:rsidR="00C13314" w:rsidRDefault="00C13314" w:rsidP="00C13314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11367A" w:rsidRPr="00C70FA5">
        <w:rPr>
          <w:szCs w:val="22"/>
        </w:rPr>
        <w:t>Robert.kluger@louisville.edu</w:t>
      </w:r>
    </w:p>
    <w:p w14:paraId="744ACE62" w14:textId="4859F600" w:rsidR="0011367A" w:rsidRDefault="0011367A" w:rsidP="00C13314">
      <w:pPr>
        <w:rPr>
          <w:szCs w:val="22"/>
        </w:rPr>
      </w:pPr>
    </w:p>
    <w:p w14:paraId="3E3F3597" w14:textId="4A586D76" w:rsidR="0011367A" w:rsidRDefault="0011367A" w:rsidP="00C13314">
      <w:pPr>
        <w:rPr>
          <w:szCs w:val="22"/>
        </w:rPr>
      </w:pPr>
      <w:r>
        <w:rPr>
          <w:rStyle w:val="Heading3Char"/>
        </w:rPr>
        <w:t>TA</w:t>
      </w:r>
      <w:r w:rsidRPr="005B5018">
        <w:rPr>
          <w:rStyle w:val="Heading3Char"/>
        </w:rPr>
        <w:t>:</w:t>
      </w:r>
      <w:r w:rsidRPr="005B5018"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Mohamadreza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Haghani</w:t>
      </w:r>
      <w:proofErr w:type="spellEnd"/>
    </w:p>
    <w:p w14:paraId="3E154488" w14:textId="4B85C9E4" w:rsidR="005F29CF" w:rsidRDefault="0011367A" w:rsidP="005B5018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11367A">
        <w:rPr>
          <w:szCs w:val="22"/>
        </w:rPr>
        <w:t>mohamadreza.haghani@louisville.edu</w:t>
      </w:r>
    </w:p>
    <w:p w14:paraId="6FF7EF0F" w14:textId="77777777" w:rsidR="0011367A" w:rsidRPr="005B5018" w:rsidRDefault="0011367A" w:rsidP="005B5018">
      <w:pPr>
        <w:rPr>
          <w:szCs w:val="22"/>
        </w:rPr>
      </w:pPr>
    </w:p>
    <w:p w14:paraId="1127A8B4" w14:textId="55A46D07" w:rsidR="00BC777D" w:rsidRDefault="001357B3" w:rsidP="00C13314">
      <w:pPr>
        <w:rPr>
          <w:szCs w:val="22"/>
        </w:rPr>
      </w:pPr>
      <w:r w:rsidRPr="005B5018">
        <w:rPr>
          <w:rStyle w:val="Heading3Char"/>
        </w:rPr>
        <w:t>Schedule:</w:t>
      </w:r>
      <w:r w:rsidRPr="005B5018">
        <w:rPr>
          <w:szCs w:val="22"/>
        </w:rPr>
        <w:tab/>
      </w:r>
      <w:r w:rsidR="00BC777D">
        <w:rPr>
          <w:szCs w:val="22"/>
        </w:rPr>
        <w:t>Section CEE</w:t>
      </w:r>
      <w:r w:rsidR="008961AE">
        <w:rPr>
          <w:szCs w:val="22"/>
        </w:rPr>
        <w:t xml:space="preserve"> </w:t>
      </w:r>
      <w:r w:rsidR="00BC777D">
        <w:rPr>
          <w:szCs w:val="22"/>
        </w:rPr>
        <w:t xml:space="preserve">205; 11:00 AM – </w:t>
      </w:r>
      <w:r w:rsidR="00844299">
        <w:rPr>
          <w:szCs w:val="22"/>
        </w:rPr>
        <w:t>11:50 AM</w:t>
      </w:r>
    </w:p>
    <w:p w14:paraId="6D2C6E8F" w14:textId="6ED43C92" w:rsidR="00C13314" w:rsidRPr="005B5018" w:rsidRDefault="00C13314" w:rsidP="00C13314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844299">
        <w:rPr>
          <w:szCs w:val="22"/>
        </w:rPr>
        <w:t>BAB 131</w:t>
      </w:r>
    </w:p>
    <w:p w14:paraId="42C0AA95" w14:textId="538B56BF" w:rsidR="00CE572E" w:rsidRDefault="00CE572E" w:rsidP="005B5018">
      <w:pPr>
        <w:rPr>
          <w:rStyle w:val="Heading3Char"/>
        </w:rPr>
      </w:pPr>
    </w:p>
    <w:p w14:paraId="555DEDF3" w14:textId="287B7EC6" w:rsidR="00CE572E" w:rsidRPr="00CE572E" w:rsidRDefault="00CE572E" w:rsidP="00CE572E">
      <w:pPr>
        <w:ind w:left="1440" w:hanging="1440"/>
        <w:rPr>
          <w:rStyle w:val="Heading3Char"/>
        </w:rPr>
      </w:pPr>
      <w:r>
        <w:rPr>
          <w:rStyle w:val="Heading3Char"/>
        </w:rPr>
        <w:t>Blackboard:</w:t>
      </w:r>
      <w:r w:rsidRPr="00CE572E">
        <w:t xml:space="preserve"> </w:t>
      </w:r>
      <w:r w:rsidRPr="00CE572E">
        <w:rPr>
          <w:rStyle w:val="Heading3Char"/>
          <w:b w:val="0"/>
          <w:bCs w:val="0"/>
          <w:sz w:val="22"/>
          <w:szCs w:val="22"/>
        </w:rPr>
        <w:t>CE 20</w:t>
      </w:r>
      <w:r>
        <w:rPr>
          <w:rStyle w:val="Heading3Char"/>
          <w:b w:val="0"/>
          <w:bCs w:val="0"/>
          <w:sz w:val="22"/>
          <w:szCs w:val="22"/>
        </w:rPr>
        <w:t>5</w:t>
      </w:r>
      <w:r w:rsidRPr="00CE572E">
        <w:rPr>
          <w:rStyle w:val="Heading3Char"/>
          <w:b w:val="0"/>
          <w:bCs w:val="0"/>
          <w:sz w:val="22"/>
          <w:szCs w:val="22"/>
        </w:rPr>
        <w:t xml:space="preserve"> will use Blackboard learning environment for course communications. Any key announcements will be posted to Blackboard. Students are expected to check Blackboard daily for announcements regarding the course.</w:t>
      </w:r>
    </w:p>
    <w:p w14:paraId="0F7E5447" w14:textId="77777777" w:rsidR="00CE572E" w:rsidRPr="00CE572E" w:rsidRDefault="00CE572E" w:rsidP="00CE572E">
      <w:pPr>
        <w:rPr>
          <w:rStyle w:val="Heading3Char"/>
        </w:rPr>
      </w:pPr>
    </w:p>
    <w:p w14:paraId="238BC3BE" w14:textId="2757472B" w:rsidR="00CE572E" w:rsidRPr="00CE572E" w:rsidRDefault="00CE572E" w:rsidP="00CE572E">
      <w:pPr>
        <w:ind w:left="1440" w:hanging="1440"/>
        <w:rPr>
          <w:rStyle w:val="Heading3Char"/>
          <w:sz w:val="22"/>
          <w:szCs w:val="22"/>
        </w:rPr>
      </w:pPr>
      <w:r w:rsidRPr="00CE572E">
        <w:rPr>
          <w:rStyle w:val="Heading3Char"/>
        </w:rPr>
        <w:t xml:space="preserve">Office Hours: </w:t>
      </w:r>
      <w:r w:rsidRPr="00CE572E">
        <w:rPr>
          <w:rStyle w:val="Heading3Char"/>
          <w:b w:val="0"/>
          <w:bCs w:val="0"/>
          <w:sz w:val="22"/>
          <w:szCs w:val="22"/>
        </w:rPr>
        <w:t>Office hours are available for students who need additional help with concepts. Dr. Kluger is available via appointment</w:t>
      </w:r>
      <w:r>
        <w:rPr>
          <w:rStyle w:val="Heading3Char"/>
          <w:b w:val="0"/>
          <w:bCs w:val="0"/>
          <w:sz w:val="22"/>
          <w:szCs w:val="22"/>
        </w:rPr>
        <w:t>. Teaching assistant schedules will be posted at a later date.</w:t>
      </w:r>
    </w:p>
    <w:p w14:paraId="2C0193AE" w14:textId="77777777" w:rsidR="00CE572E" w:rsidRDefault="00CE572E" w:rsidP="005B5018">
      <w:pPr>
        <w:rPr>
          <w:rStyle w:val="Heading3Char"/>
        </w:rPr>
      </w:pPr>
    </w:p>
    <w:p w14:paraId="72A3C1D2" w14:textId="745CED1E" w:rsidR="001357B3" w:rsidRDefault="001357B3" w:rsidP="005B5018">
      <w:pPr>
        <w:rPr>
          <w:szCs w:val="22"/>
        </w:rPr>
      </w:pPr>
      <w:r w:rsidRPr="005B5018">
        <w:rPr>
          <w:rStyle w:val="Heading3Char"/>
        </w:rPr>
        <w:t>ABET course content:</w:t>
      </w:r>
      <w:r w:rsidRPr="005B5018">
        <w:rPr>
          <w:szCs w:val="22"/>
        </w:rPr>
        <w:tab/>
        <w:t>This course meets the following ABET outcomes:</w:t>
      </w:r>
    </w:p>
    <w:p w14:paraId="0F4F7786" w14:textId="77777777" w:rsidR="00CF46DD" w:rsidRDefault="00CF46DD" w:rsidP="005B5018">
      <w:pPr>
        <w:rPr>
          <w:szCs w:val="22"/>
        </w:rPr>
      </w:pPr>
    </w:p>
    <w:p w14:paraId="76A9083F" w14:textId="77777777" w:rsidR="00CF46DD" w:rsidRPr="005B5018" w:rsidRDefault="00CF46DD" w:rsidP="005B5018">
      <w:pPr>
        <w:rPr>
          <w:szCs w:val="22"/>
        </w:rPr>
      </w:pPr>
      <w:r w:rsidRPr="00CF46DD">
        <w:rPr>
          <w:szCs w:val="22"/>
        </w:rPr>
        <w:t>(1) an ability to identify, formulate, and solve complex engineering problems by applying principles of engineering, science, and mathematics</w:t>
      </w:r>
    </w:p>
    <w:p w14:paraId="4DAE5E69" w14:textId="77777777" w:rsidR="001357B3" w:rsidRPr="005B5018" w:rsidRDefault="001357B3" w:rsidP="005B5018">
      <w:pPr>
        <w:rPr>
          <w:szCs w:val="22"/>
        </w:rPr>
      </w:pPr>
    </w:p>
    <w:p w14:paraId="3568AFFF" w14:textId="77777777" w:rsidR="00221E6C" w:rsidRDefault="00221E6C" w:rsidP="00221E6C">
      <w:pPr>
        <w:pStyle w:val="Heading3"/>
      </w:pPr>
      <w:r w:rsidRPr="005B5018">
        <w:t xml:space="preserve">Important dates:   </w:t>
      </w:r>
    </w:p>
    <w:p w14:paraId="0C3498EA" w14:textId="77777777" w:rsidR="00221E6C" w:rsidRPr="003E752D" w:rsidRDefault="00221E6C" w:rsidP="00221E6C"/>
    <w:p w14:paraId="58DB033A" w14:textId="77777777" w:rsidR="00221E6C" w:rsidRDefault="00221E6C" w:rsidP="00221E6C">
      <w:pPr>
        <w:rPr>
          <w:szCs w:val="22"/>
        </w:rPr>
        <w:sectPr w:rsidR="00221E6C" w:rsidSect="00221E6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517A714" w14:textId="7714448F" w:rsidR="00221E6C" w:rsidRPr="00CF46DD" w:rsidRDefault="00844299" w:rsidP="00221E6C">
      <w:pPr>
        <w:tabs>
          <w:tab w:val="left" w:pos="1620"/>
        </w:tabs>
        <w:ind w:left="1440"/>
        <w:rPr>
          <w:szCs w:val="22"/>
        </w:rPr>
      </w:pPr>
      <w:r>
        <w:rPr>
          <w:szCs w:val="22"/>
        </w:rPr>
        <w:t>Jan</w:t>
      </w:r>
      <w:r w:rsidR="00221E6C" w:rsidRPr="00CF46DD">
        <w:rPr>
          <w:szCs w:val="22"/>
        </w:rPr>
        <w:t xml:space="preserve"> </w:t>
      </w:r>
      <w:r w:rsidR="00434C79" w:rsidRPr="00CF46DD">
        <w:rPr>
          <w:szCs w:val="22"/>
        </w:rPr>
        <w:t>1</w:t>
      </w:r>
      <w:r>
        <w:rPr>
          <w:szCs w:val="22"/>
        </w:rPr>
        <w:t>0</w:t>
      </w:r>
      <w:r>
        <w:rPr>
          <w:szCs w:val="22"/>
        </w:rPr>
        <w:tab/>
      </w:r>
      <w:r>
        <w:rPr>
          <w:szCs w:val="22"/>
        </w:rPr>
        <w:tab/>
      </w:r>
      <w:r w:rsidR="00221E6C" w:rsidRPr="00CF46DD">
        <w:rPr>
          <w:szCs w:val="22"/>
        </w:rPr>
        <w:t xml:space="preserve">Classes start </w:t>
      </w:r>
    </w:p>
    <w:p w14:paraId="57719064" w14:textId="402A1C3F" w:rsidR="00434C79" w:rsidRPr="00CF46DD" w:rsidRDefault="00844299" w:rsidP="00221E6C">
      <w:pPr>
        <w:tabs>
          <w:tab w:val="left" w:pos="1620"/>
        </w:tabs>
        <w:ind w:left="1440"/>
        <w:rPr>
          <w:szCs w:val="22"/>
        </w:rPr>
      </w:pPr>
      <w:r>
        <w:rPr>
          <w:szCs w:val="22"/>
        </w:rPr>
        <w:t xml:space="preserve">Jan 17 </w:t>
      </w:r>
      <w:r w:rsidR="00221E6C" w:rsidRPr="00CF46DD">
        <w:rPr>
          <w:szCs w:val="22"/>
        </w:rPr>
        <w:tab/>
      </w:r>
      <w:r>
        <w:rPr>
          <w:szCs w:val="22"/>
        </w:rPr>
        <w:t>MLK Holiday</w:t>
      </w:r>
      <w:r w:rsidR="00221E6C" w:rsidRPr="00CF46DD">
        <w:rPr>
          <w:szCs w:val="22"/>
        </w:rPr>
        <w:t xml:space="preserve"> </w:t>
      </w:r>
    </w:p>
    <w:p w14:paraId="3ABD3C46" w14:textId="7B81F20F" w:rsidR="00221E6C" w:rsidRPr="00CF46DD" w:rsidRDefault="00844299" w:rsidP="00221E6C">
      <w:pPr>
        <w:tabs>
          <w:tab w:val="left" w:pos="1620"/>
        </w:tabs>
        <w:ind w:left="1440"/>
        <w:rPr>
          <w:szCs w:val="22"/>
        </w:rPr>
      </w:pPr>
      <w:r>
        <w:rPr>
          <w:szCs w:val="22"/>
        </w:rPr>
        <w:t>Mar 14-</w:t>
      </w:r>
      <w:r w:rsidR="008C700F">
        <w:rPr>
          <w:szCs w:val="22"/>
        </w:rPr>
        <w:t>18</w:t>
      </w:r>
      <w:r>
        <w:rPr>
          <w:szCs w:val="22"/>
        </w:rPr>
        <w:t xml:space="preserve"> </w:t>
      </w:r>
      <w:r w:rsidR="00434C79" w:rsidRPr="00CF46DD">
        <w:rPr>
          <w:szCs w:val="22"/>
        </w:rPr>
        <w:tab/>
      </w:r>
      <w:proofErr w:type="spellStart"/>
      <w:r>
        <w:rPr>
          <w:szCs w:val="22"/>
        </w:rPr>
        <w:t>Sp</w:t>
      </w:r>
      <w:proofErr w:type="spellEnd"/>
      <w:r>
        <w:rPr>
          <w:szCs w:val="22"/>
        </w:rPr>
        <w:t xml:space="preserve"> Break </w:t>
      </w:r>
    </w:p>
    <w:p w14:paraId="08BE0B25" w14:textId="287BE82D" w:rsidR="00221E6C" w:rsidRPr="00CF46DD" w:rsidRDefault="008C700F" w:rsidP="00221E6C">
      <w:pPr>
        <w:tabs>
          <w:tab w:val="left" w:pos="1620"/>
        </w:tabs>
        <w:ind w:left="1440"/>
        <w:rPr>
          <w:szCs w:val="22"/>
        </w:rPr>
      </w:pPr>
      <w:r>
        <w:rPr>
          <w:szCs w:val="22"/>
        </w:rPr>
        <w:t xml:space="preserve">Apr </w:t>
      </w:r>
      <w:proofErr w:type="gramStart"/>
      <w:r>
        <w:rPr>
          <w:szCs w:val="22"/>
        </w:rPr>
        <w:t xml:space="preserve">25 </w:t>
      </w:r>
      <w:r w:rsidR="00221E6C" w:rsidRPr="00CF46DD">
        <w:rPr>
          <w:szCs w:val="22"/>
        </w:rPr>
        <w:t xml:space="preserve"> </w:t>
      </w:r>
      <w:r w:rsidR="00C13314">
        <w:rPr>
          <w:szCs w:val="22"/>
        </w:rPr>
        <w:tab/>
      </w:r>
      <w:proofErr w:type="gramEnd"/>
      <w:r w:rsidR="00221E6C" w:rsidRPr="00CF46DD">
        <w:rPr>
          <w:szCs w:val="22"/>
        </w:rPr>
        <w:t>Last day of classes</w:t>
      </w:r>
    </w:p>
    <w:p w14:paraId="7DBE4961" w14:textId="77777777" w:rsidR="00221E6C" w:rsidRPr="00CF46DD" w:rsidRDefault="00221E6C" w:rsidP="00221E6C">
      <w:pPr>
        <w:tabs>
          <w:tab w:val="left" w:pos="2250"/>
        </w:tabs>
        <w:rPr>
          <w:szCs w:val="22"/>
        </w:rPr>
      </w:pPr>
    </w:p>
    <w:p w14:paraId="0811FE43" w14:textId="77777777" w:rsidR="00221E6C" w:rsidRPr="00CF46DD" w:rsidRDefault="00221E6C" w:rsidP="00221E6C">
      <w:pPr>
        <w:tabs>
          <w:tab w:val="left" w:pos="2250"/>
        </w:tabs>
        <w:rPr>
          <w:szCs w:val="22"/>
        </w:rPr>
        <w:sectPr w:rsidR="00221E6C" w:rsidRPr="00CF46DD" w:rsidSect="00CB6040">
          <w:type w:val="continuous"/>
          <w:pgSz w:w="12240" w:h="15840"/>
          <w:pgMar w:top="1440" w:right="1440" w:bottom="1440" w:left="1440" w:header="1440" w:footer="1440" w:gutter="0"/>
          <w:cols w:space="900"/>
          <w:noEndnote/>
        </w:sectPr>
      </w:pPr>
    </w:p>
    <w:p w14:paraId="7093D815" w14:textId="35D97F3D" w:rsidR="00221E6C" w:rsidRPr="008C700F" w:rsidRDefault="008C700F" w:rsidP="008C700F">
      <w:pPr>
        <w:tabs>
          <w:tab w:val="left" w:pos="2250"/>
        </w:tabs>
        <w:ind w:left="1440"/>
        <w:rPr>
          <w:b/>
          <w:szCs w:val="22"/>
        </w:rPr>
        <w:sectPr w:rsidR="00221E6C" w:rsidRPr="008C700F" w:rsidSect="00CB6040">
          <w:type w:val="continuous"/>
          <w:pgSz w:w="12240" w:h="15840"/>
          <w:pgMar w:top="1440" w:right="1440" w:bottom="1440" w:left="1440" w:header="1440" w:footer="1440" w:gutter="0"/>
          <w:cols w:space="900"/>
          <w:noEndnote/>
        </w:sectPr>
      </w:pPr>
      <w:r>
        <w:rPr>
          <w:b/>
          <w:szCs w:val="22"/>
        </w:rPr>
        <w:lastRenderedPageBreak/>
        <w:t>Apr</w:t>
      </w:r>
      <w:r w:rsidR="00221E6C" w:rsidRPr="00CF46DD">
        <w:rPr>
          <w:b/>
          <w:szCs w:val="22"/>
        </w:rPr>
        <w:t xml:space="preserve"> </w:t>
      </w:r>
      <w:r w:rsidR="00C13314">
        <w:rPr>
          <w:b/>
          <w:szCs w:val="22"/>
        </w:rPr>
        <w:t>27th</w:t>
      </w:r>
      <w:r w:rsidR="00221E6C" w:rsidRPr="00CF46DD">
        <w:rPr>
          <w:b/>
          <w:szCs w:val="22"/>
        </w:rPr>
        <w:t xml:space="preserve"> </w:t>
      </w:r>
      <w:r w:rsidR="00221E6C" w:rsidRPr="00CF46DD">
        <w:rPr>
          <w:b/>
          <w:szCs w:val="22"/>
        </w:rPr>
        <w:tab/>
        <w:t>FINAL EXAM</w:t>
      </w:r>
    </w:p>
    <w:p w14:paraId="72D589E6" w14:textId="77777777" w:rsidR="00221E6C" w:rsidRDefault="00221E6C" w:rsidP="00465205">
      <w:pPr>
        <w:rPr>
          <w:rStyle w:val="Heading3Char"/>
        </w:rPr>
      </w:pPr>
    </w:p>
    <w:p w14:paraId="05182888" w14:textId="77777777" w:rsidR="00221E6C" w:rsidRDefault="00221E6C" w:rsidP="00465205">
      <w:pPr>
        <w:rPr>
          <w:rStyle w:val="Heading3Char"/>
        </w:rPr>
      </w:pPr>
    </w:p>
    <w:p w14:paraId="0AD79325" w14:textId="5194E69E" w:rsidR="001357B3" w:rsidRDefault="001357B3" w:rsidP="00465205">
      <w:pPr>
        <w:rPr>
          <w:szCs w:val="22"/>
        </w:rPr>
      </w:pPr>
      <w:r w:rsidRPr="005B5018">
        <w:rPr>
          <w:rStyle w:val="Heading3Char"/>
        </w:rPr>
        <w:t>Grading:</w:t>
      </w:r>
      <w:r w:rsidRPr="005B5018">
        <w:rPr>
          <w:szCs w:val="22"/>
        </w:rPr>
        <w:tab/>
      </w:r>
      <w:r w:rsidR="00861039">
        <w:rPr>
          <w:szCs w:val="22"/>
        </w:rPr>
        <w:t>Exams and Final</w:t>
      </w:r>
      <w:r w:rsidR="00861039">
        <w:rPr>
          <w:szCs w:val="22"/>
        </w:rPr>
        <w:tab/>
      </w:r>
      <w:r w:rsidR="00861039">
        <w:rPr>
          <w:szCs w:val="22"/>
        </w:rPr>
        <w:tab/>
      </w:r>
      <w:r w:rsidRPr="005B5018">
        <w:rPr>
          <w:szCs w:val="22"/>
        </w:rPr>
        <w:tab/>
      </w:r>
      <w:r w:rsidR="007F68CF">
        <w:rPr>
          <w:szCs w:val="22"/>
        </w:rPr>
        <w:tab/>
      </w:r>
      <w:r w:rsidR="008C700F">
        <w:rPr>
          <w:szCs w:val="22"/>
        </w:rPr>
        <w:t>6</w:t>
      </w:r>
      <w:r w:rsidR="00AB5803">
        <w:rPr>
          <w:szCs w:val="22"/>
        </w:rPr>
        <w:t>0 percent</w:t>
      </w:r>
    </w:p>
    <w:p w14:paraId="6A4C8276" w14:textId="2F0F107D" w:rsidR="00946EA9" w:rsidRDefault="00465205" w:rsidP="0046520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proofErr w:type="gramStart"/>
      <w:r>
        <w:rPr>
          <w:szCs w:val="22"/>
        </w:rPr>
        <w:t>Assignments</w:t>
      </w:r>
      <w:proofErr w:type="gramEnd"/>
      <w:r w:rsidR="00946EA9">
        <w:rPr>
          <w:szCs w:val="22"/>
        </w:rPr>
        <w:tab/>
      </w:r>
      <w:r w:rsidR="00946EA9">
        <w:rPr>
          <w:szCs w:val="22"/>
        </w:rPr>
        <w:tab/>
      </w:r>
      <w:r w:rsidR="00946EA9">
        <w:rPr>
          <w:szCs w:val="22"/>
        </w:rPr>
        <w:tab/>
      </w:r>
      <w:r w:rsidR="00946EA9">
        <w:rPr>
          <w:szCs w:val="22"/>
        </w:rPr>
        <w:tab/>
      </w:r>
      <w:r w:rsidR="00946EA9">
        <w:rPr>
          <w:szCs w:val="22"/>
        </w:rPr>
        <w:tab/>
        <w:t>20 percent</w:t>
      </w:r>
    </w:p>
    <w:p w14:paraId="0B34AC97" w14:textId="78A2DC43" w:rsidR="00465205" w:rsidRDefault="00465205" w:rsidP="00946EA9">
      <w:pPr>
        <w:ind w:left="720" w:firstLine="720"/>
        <w:rPr>
          <w:szCs w:val="22"/>
        </w:rPr>
      </w:pPr>
      <w:r>
        <w:rPr>
          <w:szCs w:val="22"/>
        </w:rPr>
        <w:t>Quizzes/Participation</w:t>
      </w:r>
      <w:r>
        <w:rPr>
          <w:szCs w:val="22"/>
        </w:rPr>
        <w:tab/>
      </w:r>
      <w:r>
        <w:rPr>
          <w:szCs w:val="22"/>
        </w:rPr>
        <w:tab/>
      </w:r>
      <w:r w:rsidR="00946EA9">
        <w:rPr>
          <w:szCs w:val="22"/>
        </w:rPr>
        <w:tab/>
      </w:r>
      <w:r w:rsidR="00946EA9">
        <w:rPr>
          <w:szCs w:val="22"/>
        </w:rPr>
        <w:tab/>
      </w:r>
      <w:r w:rsidR="008C700F">
        <w:rPr>
          <w:szCs w:val="22"/>
          <w:u w:val="single"/>
        </w:rPr>
        <w:t>2</w:t>
      </w:r>
      <w:r w:rsidR="00AB5803">
        <w:rPr>
          <w:szCs w:val="22"/>
          <w:u w:val="single"/>
        </w:rPr>
        <w:t>0 percent</w:t>
      </w:r>
      <w:r w:rsidRPr="00465205">
        <w:rPr>
          <w:szCs w:val="22"/>
        </w:rPr>
        <w:tab/>
        <w:t xml:space="preserve">     </w:t>
      </w:r>
    </w:p>
    <w:p w14:paraId="7ECDCE88" w14:textId="77777777" w:rsidR="001357B3" w:rsidRPr="005B5018" w:rsidRDefault="005B5018" w:rsidP="0046520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AB5803">
        <w:rPr>
          <w:szCs w:val="22"/>
        </w:rPr>
        <w:tab/>
      </w:r>
      <w:r w:rsidR="00AB5803">
        <w:rPr>
          <w:szCs w:val="22"/>
        </w:rPr>
        <w:tab/>
      </w:r>
      <w:r w:rsidR="00AB5803">
        <w:rPr>
          <w:szCs w:val="22"/>
        </w:rPr>
        <w:tab/>
      </w:r>
      <w:r w:rsidR="00AB5803">
        <w:rPr>
          <w:szCs w:val="22"/>
        </w:rPr>
        <w:tab/>
      </w:r>
      <w:r w:rsidR="00AB5803">
        <w:rPr>
          <w:szCs w:val="22"/>
        </w:rPr>
        <w:tab/>
        <w:t>Total: 100 percent</w:t>
      </w:r>
    </w:p>
    <w:p w14:paraId="387921A8" w14:textId="77777777" w:rsidR="001357B3" w:rsidRPr="005B5018" w:rsidRDefault="001357B3" w:rsidP="005B5018">
      <w:pPr>
        <w:rPr>
          <w:szCs w:val="22"/>
        </w:rPr>
      </w:pPr>
    </w:p>
    <w:p w14:paraId="1A0CF364" w14:textId="77777777" w:rsidR="001357B3" w:rsidRPr="005B5018" w:rsidRDefault="001357B3" w:rsidP="005B5018">
      <w:pPr>
        <w:ind w:left="1440"/>
        <w:rPr>
          <w:i/>
          <w:sz w:val="18"/>
          <w:szCs w:val="18"/>
        </w:rPr>
      </w:pPr>
      <w:r w:rsidRPr="005B5018">
        <w:rPr>
          <w:i/>
          <w:sz w:val="18"/>
          <w:szCs w:val="18"/>
        </w:rPr>
        <w:t>The following scale will be used to assign letter grades:</w:t>
      </w:r>
    </w:p>
    <w:p w14:paraId="7DE1F022" w14:textId="77777777" w:rsidR="005B5018" w:rsidRPr="005B5018" w:rsidRDefault="005B5018" w:rsidP="005B5018">
      <w:pPr>
        <w:ind w:left="1440"/>
        <w:rPr>
          <w:i/>
          <w:sz w:val="18"/>
          <w:szCs w:val="18"/>
        </w:rPr>
      </w:pPr>
    </w:p>
    <w:p w14:paraId="5FC63A04" w14:textId="77777777" w:rsidR="001357B3" w:rsidRPr="005B5018" w:rsidRDefault="001357B3" w:rsidP="00465205">
      <w:pPr>
        <w:ind w:left="1440"/>
        <w:rPr>
          <w:i/>
          <w:sz w:val="18"/>
          <w:szCs w:val="18"/>
        </w:rPr>
      </w:pPr>
      <w:r w:rsidRPr="005B5018">
        <w:rPr>
          <w:i/>
          <w:sz w:val="18"/>
          <w:szCs w:val="18"/>
        </w:rPr>
        <w:t>A+</w:t>
      </w:r>
      <w:r w:rsidRPr="005B5018">
        <w:rPr>
          <w:i/>
          <w:sz w:val="18"/>
          <w:szCs w:val="18"/>
        </w:rPr>
        <w:tab/>
      </w:r>
      <w:r w:rsidR="00AB5803">
        <w:rPr>
          <w:i/>
          <w:sz w:val="18"/>
          <w:szCs w:val="18"/>
        </w:rPr>
        <w:t>95 percent</w:t>
      </w:r>
      <w:r w:rsidRPr="005B5018">
        <w:rPr>
          <w:i/>
          <w:sz w:val="18"/>
          <w:szCs w:val="18"/>
        </w:rPr>
        <w:tab/>
      </w:r>
      <w:r w:rsidRPr="005B5018">
        <w:rPr>
          <w:i/>
          <w:sz w:val="18"/>
          <w:szCs w:val="18"/>
        </w:rPr>
        <w:tab/>
        <w:t>C+</w:t>
      </w:r>
      <w:r w:rsidRPr="005B5018">
        <w:rPr>
          <w:i/>
          <w:sz w:val="18"/>
          <w:szCs w:val="18"/>
        </w:rPr>
        <w:tab/>
      </w:r>
      <w:r w:rsidR="00AB5803">
        <w:rPr>
          <w:i/>
          <w:sz w:val="18"/>
          <w:szCs w:val="18"/>
        </w:rPr>
        <w:t>75 percent</w:t>
      </w:r>
    </w:p>
    <w:p w14:paraId="52AC9A6C" w14:textId="77777777" w:rsidR="001357B3" w:rsidRPr="005B5018" w:rsidRDefault="001357B3" w:rsidP="00465205">
      <w:pPr>
        <w:ind w:left="1440"/>
        <w:rPr>
          <w:i/>
          <w:sz w:val="18"/>
          <w:szCs w:val="18"/>
        </w:rPr>
      </w:pPr>
      <w:r w:rsidRPr="005B5018">
        <w:rPr>
          <w:i/>
          <w:sz w:val="18"/>
          <w:szCs w:val="18"/>
        </w:rPr>
        <w:t>A</w:t>
      </w:r>
      <w:r w:rsidRPr="005B5018">
        <w:rPr>
          <w:i/>
          <w:sz w:val="18"/>
          <w:szCs w:val="18"/>
        </w:rPr>
        <w:tab/>
      </w:r>
      <w:r w:rsidR="00AB5803">
        <w:rPr>
          <w:i/>
          <w:sz w:val="18"/>
          <w:szCs w:val="18"/>
        </w:rPr>
        <w:t>90 percent</w:t>
      </w:r>
      <w:r w:rsidRPr="005B5018">
        <w:rPr>
          <w:i/>
          <w:sz w:val="18"/>
          <w:szCs w:val="18"/>
        </w:rPr>
        <w:tab/>
      </w:r>
      <w:r w:rsidRPr="005B5018">
        <w:rPr>
          <w:i/>
          <w:sz w:val="18"/>
          <w:szCs w:val="18"/>
        </w:rPr>
        <w:tab/>
        <w:t>C</w:t>
      </w:r>
      <w:r w:rsidRPr="005B5018">
        <w:rPr>
          <w:i/>
          <w:sz w:val="18"/>
          <w:szCs w:val="18"/>
        </w:rPr>
        <w:tab/>
      </w:r>
      <w:r w:rsidR="00AB5803">
        <w:rPr>
          <w:i/>
          <w:sz w:val="18"/>
          <w:szCs w:val="18"/>
        </w:rPr>
        <w:t>70 percent</w:t>
      </w:r>
    </w:p>
    <w:p w14:paraId="42ACFB73" w14:textId="77777777" w:rsidR="001357B3" w:rsidRPr="005B5018" w:rsidRDefault="001357B3" w:rsidP="00465205">
      <w:pPr>
        <w:ind w:left="1440"/>
        <w:rPr>
          <w:i/>
          <w:sz w:val="18"/>
          <w:szCs w:val="18"/>
        </w:rPr>
      </w:pPr>
      <w:r w:rsidRPr="005B5018">
        <w:rPr>
          <w:i/>
          <w:sz w:val="18"/>
          <w:szCs w:val="18"/>
        </w:rPr>
        <w:t>B+</w:t>
      </w:r>
      <w:r w:rsidRPr="005B5018">
        <w:rPr>
          <w:i/>
          <w:sz w:val="18"/>
          <w:szCs w:val="18"/>
        </w:rPr>
        <w:tab/>
      </w:r>
      <w:r w:rsidR="00AB5803">
        <w:rPr>
          <w:i/>
          <w:sz w:val="18"/>
          <w:szCs w:val="18"/>
        </w:rPr>
        <w:t>85 percent</w:t>
      </w:r>
      <w:r w:rsidRPr="005B5018">
        <w:rPr>
          <w:i/>
          <w:sz w:val="18"/>
          <w:szCs w:val="18"/>
        </w:rPr>
        <w:tab/>
      </w:r>
      <w:r w:rsidRPr="005B5018">
        <w:rPr>
          <w:i/>
          <w:sz w:val="18"/>
          <w:szCs w:val="18"/>
        </w:rPr>
        <w:tab/>
        <w:t>D+</w:t>
      </w:r>
      <w:r w:rsidRPr="005B5018">
        <w:rPr>
          <w:i/>
          <w:sz w:val="18"/>
          <w:szCs w:val="18"/>
        </w:rPr>
        <w:tab/>
      </w:r>
      <w:r w:rsidR="00AB5803">
        <w:rPr>
          <w:i/>
          <w:sz w:val="18"/>
          <w:szCs w:val="18"/>
        </w:rPr>
        <w:t>65 percent</w:t>
      </w:r>
    </w:p>
    <w:p w14:paraId="013738EF" w14:textId="77777777" w:rsidR="001357B3" w:rsidRPr="005B5018" w:rsidRDefault="001357B3" w:rsidP="00465205">
      <w:pPr>
        <w:ind w:left="1440"/>
        <w:rPr>
          <w:i/>
          <w:sz w:val="18"/>
          <w:szCs w:val="18"/>
        </w:rPr>
      </w:pPr>
      <w:r w:rsidRPr="005B5018">
        <w:rPr>
          <w:i/>
          <w:sz w:val="18"/>
          <w:szCs w:val="18"/>
        </w:rPr>
        <w:t xml:space="preserve">B </w:t>
      </w:r>
      <w:r w:rsidRPr="005B5018">
        <w:rPr>
          <w:i/>
          <w:sz w:val="18"/>
          <w:szCs w:val="18"/>
        </w:rPr>
        <w:tab/>
      </w:r>
      <w:r w:rsidR="00AB5803">
        <w:rPr>
          <w:i/>
          <w:sz w:val="18"/>
          <w:szCs w:val="18"/>
        </w:rPr>
        <w:t>80 percent</w:t>
      </w:r>
      <w:r w:rsidRPr="005B5018">
        <w:rPr>
          <w:i/>
          <w:sz w:val="18"/>
          <w:szCs w:val="18"/>
        </w:rPr>
        <w:tab/>
      </w:r>
      <w:r w:rsidRPr="005B5018">
        <w:rPr>
          <w:i/>
          <w:sz w:val="18"/>
          <w:szCs w:val="18"/>
        </w:rPr>
        <w:tab/>
        <w:t>D</w:t>
      </w:r>
      <w:r w:rsidRPr="005B5018">
        <w:rPr>
          <w:i/>
          <w:sz w:val="18"/>
          <w:szCs w:val="18"/>
        </w:rPr>
        <w:tab/>
      </w:r>
      <w:r w:rsidR="00AB5803">
        <w:rPr>
          <w:i/>
          <w:sz w:val="18"/>
          <w:szCs w:val="18"/>
        </w:rPr>
        <w:t>60 percent</w:t>
      </w:r>
      <w:r w:rsidRPr="005B5018">
        <w:rPr>
          <w:i/>
          <w:sz w:val="18"/>
          <w:szCs w:val="18"/>
        </w:rPr>
        <w:t xml:space="preserve"> </w:t>
      </w:r>
    </w:p>
    <w:p w14:paraId="3E8FC73F" w14:textId="77777777" w:rsidR="001357B3" w:rsidRDefault="001357B3" w:rsidP="00465205">
      <w:pPr>
        <w:ind w:left="3600" w:firstLine="720"/>
        <w:rPr>
          <w:i/>
          <w:sz w:val="18"/>
          <w:szCs w:val="18"/>
        </w:rPr>
      </w:pPr>
      <w:r w:rsidRPr="005B5018">
        <w:rPr>
          <w:i/>
          <w:sz w:val="18"/>
          <w:szCs w:val="18"/>
        </w:rPr>
        <w:t>F</w:t>
      </w:r>
      <w:r w:rsidRPr="005B5018">
        <w:rPr>
          <w:i/>
          <w:sz w:val="18"/>
          <w:szCs w:val="18"/>
        </w:rPr>
        <w:tab/>
      </w:r>
      <w:r w:rsidR="00AB5803">
        <w:rPr>
          <w:i/>
          <w:sz w:val="18"/>
          <w:szCs w:val="18"/>
        </w:rPr>
        <w:t>&lt;60 percent</w:t>
      </w:r>
    </w:p>
    <w:p w14:paraId="2CDB8BFD" w14:textId="77777777" w:rsidR="00221E6C" w:rsidRDefault="00221E6C" w:rsidP="00465205">
      <w:pPr>
        <w:ind w:left="3600" w:firstLine="720"/>
        <w:rPr>
          <w:i/>
          <w:sz w:val="18"/>
          <w:szCs w:val="18"/>
        </w:rPr>
      </w:pPr>
    </w:p>
    <w:p w14:paraId="7D962E84" w14:textId="77777777" w:rsidR="00DA354D" w:rsidRDefault="00DA354D" w:rsidP="005B5018"/>
    <w:p w14:paraId="05837458" w14:textId="77777777" w:rsidR="00C0296E" w:rsidRDefault="00C0296E" w:rsidP="00C0296E">
      <w:pPr>
        <w:rPr>
          <w:b/>
          <w:sz w:val="26"/>
          <w:szCs w:val="26"/>
        </w:rPr>
      </w:pPr>
      <w:r w:rsidRPr="00C0296E">
        <w:rPr>
          <w:b/>
          <w:sz w:val="26"/>
          <w:szCs w:val="26"/>
        </w:rPr>
        <w:t>General Notes:</w:t>
      </w:r>
    </w:p>
    <w:p w14:paraId="1F130726" w14:textId="77777777" w:rsidR="00C0296E" w:rsidRPr="00C0296E" w:rsidRDefault="00C0296E" w:rsidP="00C0296E">
      <w:pPr>
        <w:rPr>
          <w:b/>
          <w:sz w:val="26"/>
          <w:szCs w:val="26"/>
        </w:rPr>
      </w:pPr>
      <w:r w:rsidRPr="00C0296E">
        <w:rPr>
          <w:b/>
          <w:sz w:val="26"/>
          <w:szCs w:val="26"/>
        </w:rPr>
        <w:t xml:space="preserve"> </w:t>
      </w:r>
    </w:p>
    <w:p w14:paraId="3805F29B" w14:textId="73672559" w:rsidR="00B044D6" w:rsidRDefault="00B044D6" w:rsidP="00C0296E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Four exams and the final will make up </w:t>
      </w:r>
      <w:r w:rsidR="008C700F">
        <w:rPr>
          <w:szCs w:val="22"/>
        </w:rPr>
        <w:t>6</w:t>
      </w:r>
      <w:r>
        <w:rPr>
          <w:szCs w:val="22"/>
        </w:rPr>
        <w:t>0 percent of your course grade.  Of these five testing events, the four highest scores will be the basis for the “Exams and Final” component of your overall score.</w:t>
      </w:r>
    </w:p>
    <w:p w14:paraId="5738E7D1" w14:textId="77777777" w:rsidR="00C0296E" w:rsidRPr="00C0296E" w:rsidRDefault="00C0296E" w:rsidP="00C0296E">
      <w:pPr>
        <w:pStyle w:val="ListParagraph"/>
        <w:numPr>
          <w:ilvl w:val="0"/>
          <w:numId w:val="1"/>
        </w:numPr>
        <w:rPr>
          <w:szCs w:val="22"/>
        </w:rPr>
      </w:pPr>
      <w:r w:rsidRPr="00C0296E">
        <w:rPr>
          <w:szCs w:val="22"/>
        </w:rPr>
        <w:t xml:space="preserve">Petitions for re-grading of exams or </w:t>
      </w:r>
      <w:proofErr w:type="spellStart"/>
      <w:r w:rsidRPr="00C0296E">
        <w:rPr>
          <w:szCs w:val="22"/>
        </w:rPr>
        <w:t>homeworks</w:t>
      </w:r>
      <w:proofErr w:type="spellEnd"/>
      <w:r w:rsidRPr="00C0296E">
        <w:rPr>
          <w:szCs w:val="22"/>
        </w:rPr>
        <w:t xml:space="preserve"> must be complete prior to the subsequent exam.</w:t>
      </w:r>
    </w:p>
    <w:p w14:paraId="3D223004" w14:textId="527510BD" w:rsidR="007D64F7" w:rsidRDefault="00C0296E" w:rsidP="00C0296E">
      <w:pPr>
        <w:pStyle w:val="ListParagraph"/>
        <w:numPr>
          <w:ilvl w:val="0"/>
          <w:numId w:val="1"/>
        </w:numPr>
        <w:rPr>
          <w:szCs w:val="22"/>
        </w:rPr>
      </w:pPr>
      <w:r w:rsidRPr="00C0296E">
        <w:rPr>
          <w:szCs w:val="22"/>
        </w:rPr>
        <w:t xml:space="preserve">This course will make extensive use of the </w:t>
      </w:r>
      <w:r w:rsidR="00F80F3C">
        <w:rPr>
          <w:szCs w:val="22"/>
        </w:rPr>
        <w:t xml:space="preserve">Pearson </w:t>
      </w:r>
      <w:r w:rsidR="00C13314">
        <w:rPr>
          <w:szCs w:val="22"/>
        </w:rPr>
        <w:t>Mastering</w:t>
      </w:r>
      <w:r w:rsidRPr="00C0296E">
        <w:rPr>
          <w:szCs w:val="22"/>
        </w:rPr>
        <w:t xml:space="preserve"> for homework materials</w:t>
      </w:r>
      <w:r w:rsidR="007D64F7">
        <w:rPr>
          <w:szCs w:val="22"/>
        </w:rPr>
        <w:t xml:space="preserve">.  </w:t>
      </w:r>
    </w:p>
    <w:p w14:paraId="6398E34A" w14:textId="77777777" w:rsidR="007D64F7" w:rsidRDefault="007D64F7" w:rsidP="00C0296E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All </w:t>
      </w:r>
      <w:proofErr w:type="spellStart"/>
      <w:r>
        <w:rPr>
          <w:szCs w:val="22"/>
        </w:rPr>
        <w:t>homeworks</w:t>
      </w:r>
      <w:proofErr w:type="spellEnd"/>
      <w:r>
        <w:rPr>
          <w:szCs w:val="22"/>
        </w:rPr>
        <w:t xml:space="preserve"> </w:t>
      </w:r>
      <w:r w:rsidR="00F12F9A">
        <w:rPr>
          <w:szCs w:val="22"/>
        </w:rPr>
        <w:t>must</w:t>
      </w:r>
      <w:r>
        <w:rPr>
          <w:szCs w:val="22"/>
        </w:rPr>
        <w:t xml:space="preserve"> be submitted online. </w:t>
      </w:r>
    </w:p>
    <w:p w14:paraId="7B5485EA" w14:textId="77777777" w:rsidR="00B044D6" w:rsidRPr="00F70E1E" w:rsidRDefault="00B044D6" w:rsidP="00B044D6">
      <w:pPr>
        <w:pStyle w:val="ListParagraph"/>
        <w:numPr>
          <w:ilvl w:val="0"/>
          <w:numId w:val="1"/>
        </w:numPr>
      </w:pPr>
      <w:r w:rsidRPr="00F70E1E">
        <w:t>If you are taking the class as a pass/fail option, 70 percent is required for satisfactory completion of the course</w:t>
      </w:r>
    </w:p>
    <w:p w14:paraId="74A261C2" w14:textId="55B16B5B" w:rsidR="00F2771F" w:rsidRPr="009C1EB8" w:rsidRDefault="00597993" w:rsidP="009C1EB8">
      <w:pPr>
        <w:pStyle w:val="ListParagraph"/>
        <w:numPr>
          <w:ilvl w:val="0"/>
          <w:numId w:val="1"/>
        </w:numPr>
      </w:pPr>
      <w:r w:rsidRPr="009C1EB8">
        <w:t xml:space="preserve">Exams are </w:t>
      </w:r>
      <w:r w:rsidR="00C13314">
        <w:t>open book and open note. You may not use materials from outside the class (</w:t>
      </w:r>
      <w:proofErr w:type="gramStart"/>
      <w:r w:rsidR="00C13314">
        <w:t>e.g.</w:t>
      </w:r>
      <w:proofErr w:type="gramEnd"/>
      <w:r w:rsidR="00C13314">
        <w:t xml:space="preserve"> solution manuals, message boards, </w:t>
      </w:r>
      <w:r w:rsidR="00CE572E">
        <w:t>etc.). Use of this material will result in a 0 on the exam.</w:t>
      </w:r>
    </w:p>
    <w:p w14:paraId="148D4425" w14:textId="77777777" w:rsidR="00F2771F" w:rsidRPr="009C1EB8" w:rsidRDefault="00597993" w:rsidP="009C1EB8">
      <w:pPr>
        <w:pStyle w:val="ListParagraph"/>
        <w:numPr>
          <w:ilvl w:val="0"/>
          <w:numId w:val="1"/>
        </w:numPr>
      </w:pPr>
      <w:r w:rsidRPr="009C1EB8">
        <w:t>Calculators may be used – No Phone Calculators!</w:t>
      </w:r>
    </w:p>
    <w:p w14:paraId="660C1F21" w14:textId="52767BD1" w:rsidR="00221E6C" w:rsidRPr="00CE572E" w:rsidRDefault="00221E6C" w:rsidP="00CE572E">
      <w:pPr>
        <w:rPr>
          <w:szCs w:val="22"/>
        </w:rPr>
      </w:pPr>
    </w:p>
    <w:p w14:paraId="7A1318DD" w14:textId="77777777" w:rsidR="001357B3" w:rsidRDefault="001357B3" w:rsidP="007D64F7">
      <w:pPr>
        <w:rPr>
          <w:szCs w:val="22"/>
        </w:rPr>
      </w:pPr>
    </w:p>
    <w:p w14:paraId="49ADDB5C" w14:textId="77777777" w:rsidR="00675883" w:rsidRPr="00675883" w:rsidRDefault="00675883" w:rsidP="00675883">
      <w:pPr>
        <w:rPr>
          <w:rFonts w:ascii="Calibri" w:eastAsiaTheme="minorHAnsi" w:hAnsi="Calibri"/>
          <w:b/>
          <w:bCs/>
          <w:color w:val="000000"/>
          <w:szCs w:val="22"/>
        </w:rPr>
      </w:pPr>
      <w:r w:rsidRPr="00675883">
        <w:rPr>
          <w:rFonts w:ascii="Calibri" w:eastAsiaTheme="minorHAnsi" w:hAnsi="Calibri"/>
          <w:b/>
          <w:bCs/>
          <w:color w:val="000000"/>
          <w:szCs w:val="22"/>
        </w:rPr>
        <w:t>Title IX/</w:t>
      </w:r>
      <w:proofErr w:type="spellStart"/>
      <w:r w:rsidRPr="00675883">
        <w:rPr>
          <w:rFonts w:ascii="Calibri" w:eastAsiaTheme="minorHAnsi" w:hAnsi="Calibri"/>
          <w:b/>
          <w:bCs/>
          <w:color w:val="000000"/>
          <w:szCs w:val="22"/>
        </w:rPr>
        <w:t>Clery</w:t>
      </w:r>
      <w:proofErr w:type="spellEnd"/>
      <w:r w:rsidRPr="00675883">
        <w:rPr>
          <w:rFonts w:ascii="Calibri" w:eastAsiaTheme="minorHAnsi" w:hAnsi="Calibri"/>
          <w:b/>
          <w:bCs/>
          <w:color w:val="000000"/>
          <w:szCs w:val="22"/>
        </w:rPr>
        <w:t xml:space="preserve"> Act Notification</w:t>
      </w:r>
    </w:p>
    <w:p w14:paraId="7ED020E8" w14:textId="08951E8A" w:rsidR="00675883" w:rsidRPr="00675883" w:rsidRDefault="00675883" w:rsidP="00675883">
      <w:pPr>
        <w:rPr>
          <w:rFonts w:ascii="Calibri" w:eastAsiaTheme="minorHAnsi" w:hAnsi="Calibri"/>
          <w:bCs/>
          <w:color w:val="000000"/>
          <w:szCs w:val="22"/>
        </w:rPr>
      </w:pPr>
      <w:r w:rsidRPr="00675883">
        <w:rPr>
          <w:rFonts w:ascii="Calibri" w:eastAsiaTheme="minorHAnsi" w:hAnsi="Calibri"/>
          <w:bCs/>
          <w:color w:val="000000"/>
          <w:szCs w:val="22"/>
        </w:rPr>
        <w:t xml:space="preserve">Sexual misconduct (including sexual harassment, sexual assault, and any other nonconsensual behavior of a sexual nature) and sex discrimination violate University policies. Students experiencing such behavior may obtain </w:t>
      </w:r>
      <w:r w:rsidRPr="00675883">
        <w:rPr>
          <w:rFonts w:ascii="Calibri" w:eastAsiaTheme="minorHAnsi" w:hAnsi="Calibri"/>
          <w:b/>
          <w:bCs/>
          <w:color w:val="000000"/>
          <w:szCs w:val="22"/>
        </w:rPr>
        <w:t>confidential</w:t>
      </w:r>
      <w:r w:rsidRPr="00675883">
        <w:rPr>
          <w:rFonts w:ascii="Calibri" w:eastAsiaTheme="minorHAnsi" w:hAnsi="Calibri"/>
          <w:bCs/>
          <w:color w:val="000000"/>
          <w:szCs w:val="22"/>
        </w:rPr>
        <w:t xml:space="preserve"> support from the PEACC Program (852-2663), Counseling Center (852-6585), and Campus Health Services (852-6479). To report sexual misconduct or sex discrimination, contact the Dean of Students (852-5787) or University of Louisville Police (852-6111).</w:t>
      </w:r>
    </w:p>
    <w:p w14:paraId="0A102B68" w14:textId="77777777" w:rsidR="00CE572E" w:rsidRDefault="00675883" w:rsidP="00675883">
      <w:pPr>
        <w:rPr>
          <w:rFonts w:ascii="Calibri" w:eastAsiaTheme="minorHAnsi" w:hAnsi="Calibri"/>
          <w:bCs/>
          <w:color w:val="000000"/>
          <w:szCs w:val="22"/>
        </w:rPr>
      </w:pPr>
      <w:r w:rsidRPr="00675883">
        <w:rPr>
          <w:rFonts w:ascii="Calibri" w:eastAsiaTheme="minorHAnsi" w:hAnsi="Calibri"/>
          <w:bCs/>
          <w:color w:val="000000"/>
          <w:szCs w:val="22"/>
        </w:rPr>
        <w:t xml:space="preserve"> </w:t>
      </w:r>
    </w:p>
    <w:p w14:paraId="2D8364CF" w14:textId="1FC2AA68" w:rsidR="00675883" w:rsidRPr="00675883" w:rsidRDefault="00675883" w:rsidP="00675883">
      <w:pPr>
        <w:rPr>
          <w:rFonts w:ascii="Calibri" w:eastAsiaTheme="minorHAnsi" w:hAnsi="Calibri"/>
          <w:bCs/>
          <w:color w:val="000000"/>
          <w:szCs w:val="22"/>
        </w:rPr>
      </w:pPr>
      <w:r w:rsidRPr="00675883">
        <w:rPr>
          <w:rFonts w:ascii="Calibri" w:eastAsiaTheme="minorHAnsi" w:hAnsi="Calibri"/>
          <w:b/>
          <w:bCs/>
          <w:color w:val="000000"/>
          <w:szCs w:val="22"/>
        </w:rPr>
        <w:t>Disclosure to University faculty or instructors</w:t>
      </w:r>
      <w:r w:rsidRPr="00675883">
        <w:rPr>
          <w:rFonts w:ascii="Calibri" w:eastAsiaTheme="minorHAnsi" w:hAnsi="Calibri"/>
          <w:bCs/>
          <w:color w:val="000000"/>
          <w:szCs w:val="22"/>
        </w:rPr>
        <w:t xml:space="preserve"> of sexual misconduct, domestic violence, dating violence, or sex discrimination occurring on campus, in a University-sponsored program, or involving a campus visitor or University student or employee (whether current or former) is </w:t>
      </w:r>
      <w:r w:rsidRPr="00675883">
        <w:rPr>
          <w:rFonts w:ascii="Calibri" w:eastAsiaTheme="minorHAnsi" w:hAnsi="Calibri"/>
          <w:b/>
          <w:bCs/>
          <w:color w:val="000000"/>
          <w:szCs w:val="22"/>
        </w:rPr>
        <w:t>not confidential</w:t>
      </w:r>
      <w:r w:rsidRPr="00675883">
        <w:rPr>
          <w:rFonts w:ascii="Calibri" w:eastAsiaTheme="minorHAnsi" w:hAnsi="Calibri"/>
          <w:bCs/>
          <w:color w:val="000000"/>
          <w:szCs w:val="22"/>
        </w:rPr>
        <w:t xml:space="preserve"> under Title IX. Faculty and instructors must forward such reports, including names and circumstances, to the University’s Title IX officer.</w:t>
      </w:r>
    </w:p>
    <w:p w14:paraId="24BF2F85" w14:textId="77777777" w:rsidR="00675883" w:rsidRPr="00675883" w:rsidRDefault="00675883" w:rsidP="00675883">
      <w:pPr>
        <w:rPr>
          <w:rFonts w:ascii="Calibri" w:eastAsiaTheme="minorHAnsi" w:hAnsi="Calibri"/>
          <w:bCs/>
          <w:color w:val="000000"/>
          <w:szCs w:val="22"/>
        </w:rPr>
      </w:pPr>
      <w:r w:rsidRPr="00675883">
        <w:rPr>
          <w:rFonts w:ascii="Calibri" w:eastAsiaTheme="minorHAnsi" w:hAnsi="Calibri"/>
          <w:bCs/>
          <w:color w:val="000000"/>
          <w:szCs w:val="22"/>
        </w:rPr>
        <w:t xml:space="preserve"> </w:t>
      </w:r>
    </w:p>
    <w:p w14:paraId="602A90DD" w14:textId="55D70948" w:rsidR="007D64F7" w:rsidRPr="00310389" w:rsidRDefault="00675883" w:rsidP="00CE572E">
      <w:pPr>
        <w:rPr>
          <w:rFonts w:asciiTheme="minorHAnsi" w:hAnsiTheme="minorHAnsi"/>
          <w:szCs w:val="22"/>
        </w:rPr>
      </w:pPr>
      <w:r w:rsidRPr="00675883">
        <w:rPr>
          <w:rFonts w:ascii="Calibri" w:eastAsiaTheme="minorHAnsi" w:hAnsi="Calibri"/>
          <w:bCs/>
          <w:color w:val="000000"/>
          <w:szCs w:val="22"/>
        </w:rPr>
        <w:t>For more information, see http://louisville.edu/hr/employeerelations/sexual-misconduct-brochure.</w:t>
      </w:r>
      <w:r w:rsidR="007D64F7" w:rsidRPr="00310389">
        <w:rPr>
          <w:rFonts w:asciiTheme="minorHAnsi" w:hAnsiTheme="minorHAnsi"/>
          <w:szCs w:val="22"/>
        </w:rPr>
        <w:br w:type="page"/>
      </w:r>
    </w:p>
    <w:p w14:paraId="34607F5F" w14:textId="77777777" w:rsidR="00CE572E" w:rsidRPr="00BE24E7" w:rsidRDefault="00CE572E" w:rsidP="00CE572E">
      <w:pPr>
        <w:rPr>
          <w:rFonts w:ascii="Times New Roman" w:hAnsi="Times New Roman"/>
          <w:bCs/>
          <w:i/>
        </w:rPr>
      </w:pPr>
      <w:r w:rsidRPr="00BE24E7">
        <w:rPr>
          <w:rFonts w:ascii="Times New Roman" w:hAnsi="Times New Roman"/>
          <w:b/>
          <w:bCs/>
        </w:rPr>
        <w:lastRenderedPageBreak/>
        <w:t>Computer Issues and IT Support:</w:t>
      </w:r>
      <w:r w:rsidRPr="00BE24E7">
        <w:rPr>
          <w:rFonts w:ascii="Times New Roman" w:hAnsi="Times New Roman"/>
          <w:bCs/>
        </w:rPr>
        <w:t xml:space="preserve"> Speed IT staff are available by appointment from 9 am to 4 pm to assist you with your technology needs. You may schedule an appointment by sending a detailed email including any relevant error codes and screen snips at </w:t>
      </w:r>
      <w:hyperlink r:id="rId5" w:history="1">
        <w:r w:rsidRPr="00BE24E7">
          <w:rPr>
            <w:rStyle w:val="Hyperlink"/>
            <w:rFonts w:ascii="Times New Roman" w:hAnsi="Times New Roman"/>
            <w:bCs/>
          </w:rPr>
          <w:t>SPDHelp@Louisville.edu</w:t>
        </w:r>
      </w:hyperlink>
      <w:r w:rsidRPr="00BE24E7">
        <w:rPr>
          <w:rFonts w:ascii="Times New Roman" w:hAnsi="Times New Roman"/>
          <w:bCs/>
        </w:rPr>
        <w:t xml:space="preserve"> (preferred) or 502-852-7620.</w:t>
      </w:r>
    </w:p>
    <w:p w14:paraId="5C045144" w14:textId="630BC6D0" w:rsidR="00053DE8" w:rsidRDefault="00053DE8" w:rsidP="00D90057">
      <w:pPr>
        <w:rPr>
          <w:szCs w:val="22"/>
        </w:rPr>
      </w:pPr>
    </w:p>
    <w:sectPr w:rsidR="00053DE8" w:rsidSect="003E752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A0E"/>
    <w:multiLevelType w:val="hybridMultilevel"/>
    <w:tmpl w:val="1732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677E9"/>
    <w:multiLevelType w:val="hybridMultilevel"/>
    <w:tmpl w:val="E578BC06"/>
    <w:lvl w:ilvl="0" w:tplc="D01EB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CD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6A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10E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DAE1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A2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88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2D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30E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B3"/>
    <w:rsid w:val="00053DE8"/>
    <w:rsid w:val="00087611"/>
    <w:rsid w:val="000A7DEB"/>
    <w:rsid w:val="000C470C"/>
    <w:rsid w:val="000F7A40"/>
    <w:rsid w:val="0011367A"/>
    <w:rsid w:val="001357B3"/>
    <w:rsid w:val="00183540"/>
    <w:rsid w:val="001E1176"/>
    <w:rsid w:val="001E396A"/>
    <w:rsid w:val="001F6FE2"/>
    <w:rsid w:val="00212F6A"/>
    <w:rsid w:val="00221E6C"/>
    <w:rsid w:val="00242753"/>
    <w:rsid w:val="002777E6"/>
    <w:rsid w:val="002967C7"/>
    <w:rsid w:val="002C3C86"/>
    <w:rsid w:val="002E12EC"/>
    <w:rsid w:val="002E20BD"/>
    <w:rsid w:val="00310389"/>
    <w:rsid w:val="003E752D"/>
    <w:rsid w:val="003F0A08"/>
    <w:rsid w:val="00412E20"/>
    <w:rsid w:val="00434C79"/>
    <w:rsid w:val="00452D25"/>
    <w:rsid w:val="00465205"/>
    <w:rsid w:val="0049237C"/>
    <w:rsid w:val="004B7FE1"/>
    <w:rsid w:val="0051441C"/>
    <w:rsid w:val="0051690A"/>
    <w:rsid w:val="00543114"/>
    <w:rsid w:val="005448A1"/>
    <w:rsid w:val="00561B77"/>
    <w:rsid w:val="00571616"/>
    <w:rsid w:val="00597993"/>
    <w:rsid w:val="005B5018"/>
    <w:rsid w:val="005D78E5"/>
    <w:rsid w:val="005F29CF"/>
    <w:rsid w:val="00606769"/>
    <w:rsid w:val="00660B76"/>
    <w:rsid w:val="00675883"/>
    <w:rsid w:val="00786F71"/>
    <w:rsid w:val="007D64F7"/>
    <w:rsid w:val="007F1085"/>
    <w:rsid w:val="007F68CF"/>
    <w:rsid w:val="00800C30"/>
    <w:rsid w:val="008175C3"/>
    <w:rsid w:val="00821F5E"/>
    <w:rsid w:val="00844299"/>
    <w:rsid w:val="008526B0"/>
    <w:rsid w:val="00861039"/>
    <w:rsid w:val="008961AE"/>
    <w:rsid w:val="008B7372"/>
    <w:rsid w:val="008C6110"/>
    <w:rsid w:val="008C700F"/>
    <w:rsid w:val="008D6F3E"/>
    <w:rsid w:val="00946EA9"/>
    <w:rsid w:val="009A0126"/>
    <w:rsid w:val="009C1EB8"/>
    <w:rsid w:val="009F1782"/>
    <w:rsid w:val="00A0242C"/>
    <w:rsid w:val="00A50F86"/>
    <w:rsid w:val="00AB5803"/>
    <w:rsid w:val="00B044D6"/>
    <w:rsid w:val="00B34A0C"/>
    <w:rsid w:val="00B51672"/>
    <w:rsid w:val="00BA3744"/>
    <w:rsid w:val="00BC777D"/>
    <w:rsid w:val="00BD3309"/>
    <w:rsid w:val="00BF767C"/>
    <w:rsid w:val="00C0296E"/>
    <w:rsid w:val="00C13314"/>
    <w:rsid w:val="00C1652F"/>
    <w:rsid w:val="00C330B9"/>
    <w:rsid w:val="00C443A4"/>
    <w:rsid w:val="00C70FA5"/>
    <w:rsid w:val="00C812B2"/>
    <w:rsid w:val="00C83C7C"/>
    <w:rsid w:val="00CB2866"/>
    <w:rsid w:val="00CB6040"/>
    <w:rsid w:val="00CC11E5"/>
    <w:rsid w:val="00CE572E"/>
    <w:rsid w:val="00CE7CA3"/>
    <w:rsid w:val="00CF46DD"/>
    <w:rsid w:val="00D712AD"/>
    <w:rsid w:val="00D90057"/>
    <w:rsid w:val="00DA354D"/>
    <w:rsid w:val="00DA784E"/>
    <w:rsid w:val="00DF1436"/>
    <w:rsid w:val="00DF4EAB"/>
    <w:rsid w:val="00E276DF"/>
    <w:rsid w:val="00E7099E"/>
    <w:rsid w:val="00E716E2"/>
    <w:rsid w:val="00EC64DF"/>
    <w:rsid w:val="00F02C8A"/>
    <w:rsid w:val="00F12F9A"/>
    <w:rsid w:val="00F2771F"/>
    <w:rsid w:val="00F36B25"/>
    <w:rsid w:val="00F61D7E"/>
    <w:rsid w:val="00F70E1E"/>
    <w:rsid w:val="00F80F3C"/>
    <w:rsid w:val="00FA6676"/>
    <w:rsid w:val="00F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7EB3D7"/>
  <w15:docId w15:val="{17981DA2-A2C9-4991-B9F0-59E65F65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018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B5018"/>
    <w:pPr>
      <w:keepNext/>
      <w:spacing w:before="100" w:beforeAutospacing="1" w:after="100" w:afterAutospacing="1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501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5018"/>
    <w:pPr>
      <w:keepNext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242C"/>
  </w:style>
  <w:style w:type="character" w:customStyle="1" w:styleId="Heading3Char">
    <w:name w:val="Heading 3 Char"/>
    <w:link w:val="Heading3"/>
    <w:rsid w:val="005B5018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2Char">
    <w:name w:val="Heading 2 Char"/>
    <w:link w:val="Heading2"/>
    <w:rsid w:val="005B5018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3E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7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96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D64F7"/>
    <w:pPr>
      <w:widowControl/>
      <w:autoSpaceDE/>
      <w:autoSpaceDN/>
      <w:adjustRightInd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64F7"/>
    <w:rPr>
      <w:rFonts w:ascii="Calibri" w:eastAsiaTheme="minorHAnsi" w:hAnsi="Calibr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310389"/>
    <w:rPr>
      <w:color w:val="0000FF"/>
      <w:u w:val="single"/>
    </w:rPr>
  </w:style>
  <w:style w:type="paragraph" w:customStyle="1" w:styleId="Default">
    <w:name w:val="Default"/>
    <w:basedOn w:val="Normal"/>
    <w:rsid w:val="00310389"/>
    <w:pPr>
      <w:widowControl/>
      <w:adjustRightInd/>
    </w:pPr>
    <w:rPr>
      <w:rFonts w:ascii="Times New Roman" w:eastAsiaTheme="minorHAnsi" w:hAnsi="Times New Roman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3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136">
              <w:marLeft w:val="1546"/>
              <w:marRight w:val="19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DHelp@Louisvil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CEE 205-02  STATICS</vt:lpstr>
    </vt:vector>
  </TitlesOfParts>
  <Company>University of Louisville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 205-02  STATICS</dc:title>
  <dc:creator>Leanne Whitney</dc:creator>
  <cp:lastModifiedBy>Kluger,Robert M</cp:lastModifiedBy>
  <cp:revision>23</cp:revision>
  <cp:lastPrinted>2009-05-07T16:42:00Z</cp:lastPrinted>
  <dcterms:created xsi:type="dcterms:W3CDTF">2017-03-29T17:18:00Z</dcterms:created>
  <dcterms:modified xsi:type="dcterms:W3CDTF">2022-01-04T15:52:00Z</dcterms:modified>
</cp:coreProperties>
</file>